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A9" w:rsidRPr="00662123" w:rsidRDefault="006B42A9" w:rsidP="006B42A9">
      <w:pPr>
        <w:rPr>
          <w:rFonts w:ascii="David" w:hAnsi="David" w:cs="David"/>
          <w:sz w:val="24"/>
          <w:szCs w:val="24"/>
          <w:rtl/>
        </w:rPr>
      </w:pPr>
      <w:r w:rsidRPr="00662123">
        <w:rPr>
          <w:rFonts w:ascii="David" w:hAnsi="David" w:cs="David"/>
          <w:sz w:val="24"/>
          <w:szCs w:val="24"/>
          <w:rtl/>
        </w:rPr>
        <w:t>בס"ד</w:t>
      </w:r>
    </w:p>
    <w:p w:rsidR="006B42A9" w:rsidRPr="00662123" w:rsidRDefault="006B42A9" w:rsidP="006B42A9">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r>
        <w:rPr>
          <w:rFonts w:ascii="David" w:hAnsi="David" w:cs="David" w:hint="cs"/>
          <w:sz w:val="24"/>
          <w:szCs w:val="24"/>
          <w:rtl/>
        </w:rPr>
        <w:t xml:space="preserve">        כ"ג ניסן תשפ"א</w:t>
      </w:r>
    </w:p>
    <w:p w:rsidR="006B42A9" w:rsidRDefault="006B42A9" w:rsidP="006B42A9">
      <w:pPr>
        <w:spacing w:after="0"/>
        <w:rPr>
          <w:rFonts w:ascii="David" w:hAnsi="David" w:cs="David"/>
          <w:sz w:val="24"/>
          <w:szCs w:val="24"/>
          <w:rtl/>
        </w:rPr>
      </w:pP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r>
      <w:r w:rsidRPr="00662123">
        <w:rPr>
          <w:rFonts w:ascii="David" w:hAnsi="David" w:cs="David"/>
          <w:sz w:val="24"/>
          <w:szCs w:val="24"/>
          <w:rtl/>
        </w:rPr>
        <w:tab/>
        <w:t xml:space="preserve">   </w:t>
      </w:r>
    </w:p>
    <w:p w:rsidR="006B42A9" w:rsidRPr="00662123" w:rsidRDefault="006B42A9" w:rsidP="006B42A9">
      <w:pPr>
        <w:spacing w:after="0"/>
        <w:rPr>
          <w:rFonts w:ascii="David" w:hAnsi="David" w:cs="David"/>
          <w:sz w:val="24"/>
          <w:szCs w:val="24"/>
          <w:rtl/>
        </w:rPr>
      </w:pPr>
    </w:p>
    <w:p w:rsidR="006B42A9" w:rsidRPr="00662123" w:rsidRDefault="006B42A9" w:rsidP="006B42A9">
      <w:pPr>
        <w:jc w:val="center"/>
        <w:rPr>
          <w:rFonts w:ascii="David" w:hAnsi="David" w:cs="David"/>
          <w:sz w:val="24"/>
          <w:szCs w:val="24"/>
          <w:u w:val="single"/>
          <w:rtl/>
        </w:rPr>
      </w:pPr>
      <w:r w:rsidRPr="00662123">
        <w:rPr>
          <w:rFonts w:ascii="David" w:hAnsi="David" w:cs="David"/>
          <w:b/>
          <w:bCs/>
          <w:sz w:val="24"/>
          <w:szCs w:val="24"/>
          <w:rtl/>
        </w:rPr>
        <w:t>הנדון:</w:t>
      </w:r>
      <w:r w:rsidRPr="00662123">
        <w:rPr>
          <w:rFonts w:ascii="David" w:hAnsi="David" w:cs="David"/>
          <w:sz w:val="24"/>
          <w:szCs w:val="24"/>
          <w:u w:val="single"/>
          <w:rtl/>
        </w:rPr>
        <w:t xml:space="preserve"> </w:t>
      </w:r>
      <w:r w:rsidRPr="00662123">
        <w:rPr>
          <w:rFonts w:ascii="David" w:hAnsi="David" w:cs="David"/>
          <w:b/>
          <w:bCs/>
          <w:sz w:val="24"/>
          <w:szCs w:val="24"/>
          <w:u w:val="single"/>
          <w:rtl/>
        </w:rPr>
        <w:t xml:space="preserve">סיכום </w:t>
      </w:r>
      <w:r>
        <w:rPr>
          <w:rFonts w:ascii="David" w:hAnsi="David" w:cs="David" w:hint="cs"/>
          <w:b/>
          <w:bCs/>
          <w:sz w:val="24"/>
          <w:szCs w:val="24"/>
          <w:u w:val="single"/>
          <w:rtl/>
        </w:rPr>
        <w:t xml:space="preserve">ישיבת צוות תיקון ליקויים: ביקורת שפ"ע </w:t>
      </w:r>
      <w:r>
        <w:rPr>
          <w:rFonts w:ascii="David" w:hAnsi="David" w:cs="David"/>
          <w:b/>
          <w:bCs/>
          <w:sz w:val="24"/>
          <w:szCs w:val="24"/>
          <w:u w:val="single"/>
          <w:rtl/>
        </w:rPr>
        <w:t>–</w:t>
      </w:r>
      <w:r>
        <w:rPr>
          <w:rFonts w:ascii="David" w:hAnsi="David" w:cs="David" w:hint="cs"/>
          <w:b/>
          <w:bCs/>
          <w:sz w:val="24"/>
          <w:szCs w:val="24"/>
          <w:u w:val="single"/>
          <w:rtl/>
        </w:rPr>
        <w:t xml:space="preserve"> גינון</w:t>
      </w:r>
    </w:p>
    <w:p w:rsidR="006B42A9" w:rsidRPr="00662123" w:rsidRDefault="006B42A9" w:rsidP="006B42A9">
      <w:pPr>
        <w:jc w:val="center"/>
        <w:rPr>
          <w:rFonts w:ascii="David" w:hAnsi="David" w:cs="David"/>
          <w:sz w:val="24"/>
          <w:szCs w:val="24"/>
          <w:rtl/>
        </w:rPr>
      </w:pPr>
      <w:r w:rsidRPr="00662123">
        <w:rPr>
          <w:rFonts w:ascii="David" w:hAnsi="David" w:cs="David"/>
          <w:b/>
          <w:bCs/>
          <w:sz w:val="24"/>
          <w:szCs w:val="24"/>
          <w:rtl/>
        </w:rPr>
        <w:t>תאריך:</w:t>
      </w:r>
      <w:r w:rsidRPr="00662123">
        <w:rPr>
          <w:rFonts w:ascii="David" w:hAnsi="David" w:cs="David"/>
          <w:sz w:val="24"/>
          <w:szCs w:val="24"/>
          <w:rtl/>
        </w:rPr>
        <w:t xml:space="preserve"> </w:t>
      </w:r>
      <w:r>
        <w:rPr>
          <w:rFonts w:ascii="David" w:hAnsi="David" w:cs="David" w:hint="cs"/>
          <w:sz w:val="24"/>
          <w:szCs w:val="24"/>
          <w:rtl/>
        </w:rPr>
        <w:t>05.04.21</w:t>
      </w:r>
      <w:r w:rsidRPr="00662123">
        <w:rPr>
          <w:rFonts w:ascii="David" w:hAnsi="David" w:cs="David"/>
          <w:sz w:val="24"/>
          <w:szCs w:val="24"/>
          <w:rtl/>
        </w:rPr>
        <w:t xml:space="preserve">,  </w:t>
      </w:r>
      <w:r>
        <w:rPr>
          <w:rFonts w:ascii="David" w:hAnsi="David" w:cs="David" w:hint="cs"/>
          <w:sz w:val="24"/>
          <w:szCs w:val="24"/>
          <w:rtl/>
        </w:rPr>
        <w:t>09:00</w:t>
      </w:r>
      <w:r w:rsidRPr="00662123">
        <w:rPr>
          <w:rFonts w:ascii="David" w:hAnsi="David" w:cs="David"/>
          <w:sz w:val="24"/>
          <w:szCs w:val="24"/>
          <w:rtl/>
        </w:rPr>
        <w:t xml:space="preserve">   </w:t>
      </w:r>
      <w:r w:rsidRPr="00662123">
        <w:rPr>
          <w:rFonts w:ascii="David" w:hAnsi="David" w:cs="David"/>
          <w:b/>
          <w:bCs/>
          <w:sz w:val="24"/>
          <w:szCs w:val="24"/>
          <w:rtl/>
        </w:rPr>
        <w:t>מיקום:</w:t>
      </w:r>
      <w:r w:rsidRPr="00662123">
        <w:rPr>
          <w:rFonts w:ascii="David" w:hAnsi="David" w:cs="David"/>
          <w:sz w:val="24"/>
          <w:szCs w:val="24"/>
          <w:rtl/>
        </w:rPr>
        <w:t xml:space="preserve"> </w:t>
      </w:r>
      <w:r>
        <w:rPr>
          <w:rFonts w:ascii="David" w:hAnsi="David" w:cs="David" w:hint="cs"/>
          <w:sz w:val="24"/>
          <w:szCs w:val="24"/>
          <w:rtl/>
        </w:rPr>
        <w:t>חדר ישיבות אורן</w:t>
      </w:r>
    </w:p>
    <w:p w:rsidR="006B42A9" w:rsidRPr="00662123" w:rsidRDefault="006B42A9" w:rsidP="006B42A9">
      <w:pPr>
        <w:ind w:left="-483"/>
        <w:rPr>
          <w:rFonts w:ascii="David" w:hAnsi="David" w:cs="David"/>
          <w:sz w:val="24"/>
          <w:szCs w:val="24"/>
          <w:rtl/>
        </w:rPr>
      </w:pPr>
    </w:p>
    <w:p w:rsidR="006B42A9" w:rsidRPr="00662123" w:rsidRDefault="006B42A9" w:rsidP="006B42A9">
      <w:pPr>
        <w:rPr>
          <w:rFonts w:ascii="David" w:hAnsi="David" w:cs="David"/>
          <w:b/>
          <w:bCs/>
          <w:sz w:val="24"/>
          <w:szCs w:val="24"/>
          <w:rtl/>
        </w:rPr>
      </w:pPr>
      <w:r w:rsidRPr="00662123">
        <w:rPr>
          <w:rFonts w:ascii="David" w:hAnsi="David" w:cs="David"/>
          <w:b/>
          <w:bCs/>
          <w:sz w:val="24"/>
          <w:szCs w:val="24"/>
          <w:rtl/>
        </w:rPr>
        <w:t>נוכחים:</w:t>
      </w:r>
    </w:p>
    <w:p w:rsidR="006B42A9" w:rsidRPr="00662123" w:rsidRDefault="006B42A9" w:rsidP="006B42A9">
      <w:pPr>
        <w:spacing w:line="276" w:lineRule="auto"/>
        <w:rPr>
          <w:rFonts w:ascii="David" w:hAnsi="David" w:cs="David"/>
          <w:sz w:val="24"/>
          <w:szCs w:val="24"/>
          <w:rtl/>
        </w:rPr>
      </w:pPr>
      <w:r w:rsidRPr="00662123">
        <w:rPr>
          <w:rFonts w:ascii="David" w:hAnsi="David" w:cs="David"/>
          <w:sz w:val="24"/>
          <w:szCs w:val="24"/>
          <w:rtl/>
        </w:rPr>
        <w:t>מר שלום שלמה, מנכ"ל העירייה</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גב' עינב פרץ, מבקרת העירייה</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עו"ד איתי קידר, יועמ"ש העירייה</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מר יצחק שריקי, גזבר העירייה</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גב' שרית דהן, מנהלת אגף תיאום ובקרה</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מר גידי עובדיה, מנהל אגף שפ"ע</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מר רביד גלסמן, מנהל מח' גינון</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מיטל ארגמן, חשבת אגף שפ"ע</w:t>
      </w:r>
    </w:p>
    <w:p w:rsidR="006B42A9" w:rsidRDefault="006B42A9" w:rsidP="006B42A9">
      <w:pPr>
        <w:spacing w:line="276" w:lineRule="auto"/>
        <w:rPr>
          <w:rFonts w:ascii="David" w:hAnsi="David" w:cs="David"/>
          <w:sz w:val="24"/>
          <w:szCs w:val="24"/>
          <w:rtl/>
        </w:rPr>
      </w:pPr>
      <w:r w:rsidRPr="00607124">
        <w:rPr>
          <w:rFonts w:ascii="David" w:hAnsi="David" w:cs="David" w:hint="cs"/>
          <w:sz w:val="24"/>
          <w:szCs w:val="24"/>
          <w:rtl/>
        </w:rPr>
        <w:t>מר נדב מונק, עוזר מנכ"ל העירייה</w:t>
      </w:r>
    </w:p>
    <w:p w:rsidR="006B42A9" w:rsidRDefault="006B42A9" w:rsidP="006B42A9">
      <w:pPr>
        <w:spacing w:line="276" w:lineRule="auto"/>
        <w:rPr>
          <w:rFonts w:ascii="David" w:hAnsi="David" w:cs="David"/>
          <w:sz w:val="24"/>
          <w:szCs w:val="24"/>
          <w:rtl/>
        </w:rPr>
      </w:pPr>
      <w:r>
        <w:rPr>
          <w:rFonts w:ascii="David" w:hAnsi="David" w:cs="David" w:hint="cs"/>
          <w:sz w:val="24"/>
          <w:szCs w:val="24"/>
          <w:rtl/>
        </w:rPr>
        <w:t>גב' אסתר אסייג, מזכירת מבקרת העירייה</w:t>
      </w:r>
    </w:p>
    <w:p w:rsidR="006B42A9" w:rsidRDefault="006B42A9" w:rsidP="006B42A9">
      <w:pPr>
        <w:spacing w:after="0"/>
        <w:rPr>
          <w:rFonts w:ascii="David" w:hAnsi="David" w:cs="David"/>
          <w:b/>
          <w:bCs/>
          <w:sz w:val="24"/>
          <w:szCs w:val="24"/>
          <w:u w:val="single"/>
          <w:rtl/>
        </w:rPr>
      </w:pPr>
    </w:p>
    <w:p w:rsidR="006B42A9" w:rsidRPr="00124F0B" w:rsidRDefault="006B42A9" w:rsidP="006B42A9">
      <w:pPr>
        <w:spacing w:after="0"/>
        <w:rPr>
          <w:rFonts w:ascii="David" w:hAnsi="David" w:cs="David"/>
          <w:b/>
          <w:bCs/>
          <w:sz w:val="24"/>
          <w:szCs w:val="24"/>
          <w:u w:val="single"/>
          <w:rtl/>
        </w:rPr>
      </w:pPr>
      <w:r w:rsidRPr="00124F0B">
        <w:rPr>
          <w:rFonts w:ascii="David" w:hAnsi="David" w:cs="David" w:hint="cs"/>
          <w:b/>
          <w:bCs/>
          <w:sz w:val="24"/>
          <w:szCs w:val="24"/>
          <w:u w:val="single"/>
          <w:rtl/>
        </w:rPr>
        <w:t>ריכוז ממצאים והמלצות הביקורת:</w:t>
      </w:r>
    </w:p>
    <w:p w:rsidR="006B42A9" w:rsidRDefault="006B42A9" w:rsidP="006B42A9">
      <w:pPr>
        <w:spacing w:after="0"/>
        <w:rPr>
          <w:rFonts w:ascii="David" w:hAnsi="David" w:cs="David"/>
          <w:b/>
          <w:bCs/>
          <w:sz w:val="24"/>
          <w:szCs w:val="24"/>
          <w:u w:val="single"/>
          <w:rtl/>
        </w:rPr>
      </w:pPr>
    </w:p>
    <w:p w:rsidR="006B42A9" w:rsidRDefault="006B42A9" w:rsidP="006B42A9">
      <w:pPr>
        <w:spacing w:after="0"/>
        <w:rPr>
          <w:rFonts w:ascii="David" w:hAnsi="David" w:cs="David"/>
          <w:b/>
          <w:bCs/>
          <w:sz w:val="24"/>
          <w:szCs w:val="24"/>
          <w:u w:val="single"/>
          <w:rtl/>
        </w:rPr>
      </w:pPr>
    </w:p>
    <w:tbl>
      <w:tblPr>
        <w:tblpPr w:leftFromText="180" w:rightFromText="180" w:vertAnchor="text" w:tblpXSpec="center" w:tblpY="1"/>
        <w:tblOverlap w:val="never"/>
        <w:bidiVisual/>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260"/>
        <w:gridCol w:w="3544"/>
        <w:gridCol w:w="3542"/>
      </w:tblGrid>
      <w:tr w:rsidR="006B42A9" w:rsidRPr="00702C1A" w:rsidTr="008A3F78">
        <w:trPr>
          <w:trHeight w:val="814"/>
          <w:tblHeader/>
          <w:jc w:val="center"/>
        </w:trPr>
        <w:tc>
          <w:tcPr>
            <w:tcW w:w="565" w:type="dxa"/>
            <w:shd w:val="clear" w:color="auto" w:fill="BFBFBF"/>
            <w:vAlign w:val="center"/>
          </w:tcPr>
          <w:p w:rsidR="006B42A9" w:rsidRPr="00702C1A" w:rsidRDefault="006B42A9" w:rsidP="008A3F78">
            <w:pPr>
              <w:keepLines/>
              <w:spacing w:after="0" w:line="240" w:lineRule="auto"/>
              <w:jc w:val="center"/>
              <w:outlineLvl w:val="1"/>
              <w:rPr>
                <w:rFonts w:ascii="Times New Roman" w:eastAsia="SimSun" w:hAnsi="Times New Roman" w:cs="Times New Roman"/>
                <w:b/>
                <w:bCs/>
                <w:sz w:val="24"/>
                <w:szCs w:val="24"/>
                <w:rtl/>
              </w:rPr>
            </w:pPr>
          </w:p>
        </w:tc>
        <w:tc>
          <w:tcPr>
            <w:tcW w:w="3260" w:type="dxa"/>
            <w:shd w:val="clear" w:color="auto" w:fill="BFBFBF"/>
          </w:tcPr>
          <w:p w:rsidR="006B42A9" w:rsidRPr="00702C1A" w:rsidRDefault="006B42A9" w:rsidP="008A3F78">
            <w:pPr>
              <w:keepLines/>
              <w:spacing w:after="0" w:line="360" w:lineRule="auto"/>
              <w:jc w:val="center"/>
              <w:outlineLvl w:val="1"/>
              <w:rPr>
                <w:rFonts w:ascii="Times New Roman" w:eastAsia="Times New Roman" w:hAnsi="Times New Roman" w:cs="David"/>
                <w:b/>
                <w:bCs/>
                <w:color w:val="000000"/>
                <w:sz w:val="24"/>
                <w:szCs w:val="24"/>
                <w:rtl/>
                <w:lang w:eastAsia="he-IL"/>
              </w:rPr>
            </w:pPr>
          </w:p>
          <w:p w:rsidR="006B42A9" w:rsidRPr="00702C1A" w:rsidRDefault="006B42A9" w:rsidP="008A3F78">
            <w:pPr>
              <w:keepLines/>
              <w:spacing w:after="0" w:line="360" w:lineRule="auto"/>
              <w:jc w:val="center"/>
              <w:outlineLvl w:val="1"/>
              <w:rPr>
                <w:rFonts w:ascii="Times New Roman" w:eastAsia="SimSun" w:hAnsi="Times New Roman" w:cs="Times New Roman"/>
                <w:b/>
                <w:bCs/>
                <w:sz w:val="24"/>
                <w:szCs w:val="24"/>
                <w:rtl/>
              </w:rPr>
            </w:pPr>
            <w:r w:rsidRPr="00702C1A">
              <w:rPr>
                <w:rFonts w:ascii="Times New Roman" w:eastAsia="Times New Roman" w:hAnsi="Times New Roman" w:cs="David" w:hint="cs"/>
                <w:b/>
                <w:bCs/>
                <w:color w:val="000000"/>
                <w:sz w:val="24"/>
                <w:szCs w:val="24"/>
                <w:rtl/>
                <w:lang w:eastAsia="he-IL"/>
              </w:rPr>
              <w:t>ממצאים</w:t>
            </w:r>
          </w:p>
        </w:tc>
        <w:tc>
          <w:tcPr>
            <w:tcW w:w="3544" w:type="dxa"/>
            <w:shd w:val="clear" w:color="auto" w:fill="BFBFBF"/>
            <w:vAlign w:val="center"/>
          </w:tcPr>
          <w:p w:rsidR="006B42A9" w:rsidRPr="00702C1A" w:rsidRDefault="006B42A9" w:rsidP="008A3F78">
            <w:pPr>
              <w:keepLines/>
              <w:spacing w:after="0" w:line="360" w:lineRule="auto"/>
              <w:jc w:val="center"/>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ההמלצה</w:t>
            </w:r>
          </w:p>
        </w:tc>
        <w:tc>
          <w:tcPr>
            <w:tcW w:w="3542" w:type="dxa"/>
            <w:shd w:val="clear" w:color="auto" w:fill="BFBFBF"/>
            <w:vAlign w:val="center"/>
          </w:tcPr>
          <w:p w:rsidR="006B42A9" w:rsidRPr="00702C1A" w:rsidRDefault="006B42A9" w:rsidP="008A3F78">
            <w:pPr>
              <w:keepLines/>
              <w:spacing w:after="0" w:line="360" w:lineRule="auto"/>
              <w:jc w:val="center"/>
              <w:outlineLvl w:val="1"/>
              <w:rPr>
                <w:rFonts w:ascii="Times New Roman" w:eastAsia="SimSun" w:hAnsi="Times New Roman" w:cs="Times New Roman"/>
                <w:b/>
                <w:bCs/>
                <w:sz w:val="24"/>
                <w:szCs w:val="24"/>
              </w:rPr>
            </w:pPr>
            <w:r>
              <w:rPr>
                <w:rFonts w:ascii="Times New Roman" w:eastAsia="Times New Roman" w:hAnsi="Times New Roman" w:cs="David" w:hint="cs"/>
                <w:b/>
                <w:bCs/>
                <w:color w:val="000000"/>
                <w:sz w:val="24"/>
                <w:szCs w:val="24"/>
                <w:rtl/>
                <w:lang w:eastAsia="he-IL"/>
              </w:rPr>
              <w:t>הערות</w:t>
            </w:r>
          </w:p>
        </w:tc>
      </w:tr>
      <w:tr w:rsidR="006B42A9" w:rsidRPr="00702C1A" w:rsidTr="008A3F78">
        <w:trPr>
          <w:trHeight w:val="814"/>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w:t>
            </w:r>
          </w:p>
        </w:tc>
        <w:tc>
          <w:tcPr>
            <w:tcW w:w="3260"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התהליכים מושאי הביקורת, ובהם עבודה ומעקב אחר פעילות הקבלנים, אישור חשבונות לתשלום, אישור עבודות חריגות טרם ביצוע וכדומה, אינם מעוגנים בנהלי עבודה.</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נהלים - לעגן את התהליכים העיקריים המבוצעים במחלקה בנהלים כתובים המבססים שיטות עבודה מובנות ומבוקרות, תוך חלוקת אחריות וסמכויות בין בעלי התפקידים ולווי בתיעוד מתאים.</w:t>
            </w:r>
          </w:p>
        </w:tc>
        <w:tc>
          <w:tcPr>
            <w:tcW w:w="3542" w:type="dxa"/>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Times New Roman" w:hAnsi="David" w:cs="David"/>
                <w:sz w:val="24"/>
                <w:szCs w:val="24"/>
                <w:rtl/>
                <w:lang w:eastAsia="he-IL"/>
              </w:rPr>
            </w:pPr>
            <w:r>
              <w:rPr>
                <w:rFonts w:ascii="David" w:eastAsia="Times New Roman" w:hAnsi="David" w:cs="David" w:hint="cs"/>
                <w:sz w:val="24"/>
                <w:szCs w:val="24"/>
                <w:rtl/>
                <w:lang w:eastAsia="he-IL"/>
              </w:rPr>
              <w:t xml:space="preserve">קיימים נהלי עבודה, אך יש להעלותם  על הכתב, ולהכין חוברת נהלי עבודה ברורה ומדויקת ולבצע הגדרת תפקידים. ניתן להיעזר ביועץ הקיים שהכין את מכרז הגינון. </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2.</w:t>
            </w:r>
          </w:p>
        </w:tc>
        <w:tc>
          <w:tcPr>
            <w:tcW w:w="3260" w:type="dxa"/>
          </w:tcPr>
          <w:p w:rsidR="006B42A9" w:rsidRPr="00702C1A" w:rsidRDefault="006B42A9" w:rsidP="008A3F78">
            <w:pPr>
              <w:keepLines/>
              <w:spacing w:after="0" w:line="360" w:lineRule="auto"/>
              <w:outlineLvl w:val="1"/>
              <w:rPr>
                <w:rFonts w:ascii="Tahoma" w:eastAsia="Calibri" w:hAnsi="Tahoma" w:cs="David"/>
                <w:b/>
                <w:bCs/>
                <w:sz w:val="24"/>
                <w:szCs w:val="24"/>
              </w:rPr>
            </w:pPr>
            <w:r w:rsidRPr="00702C1A">
              <w:rPr>
                <w:rFonts w:ascii="Tahoma" w:eastAsia="Calibri" w:hAnsi="Tahoma" w:cs="David" w:hint="cs"/>
                <w:b/>
                <w:bCs/>
                <w:sz w:val="24"/>
                <w:szCs w:val="24"/>
                <w:rtl/>
              </w:rPr>
              <w:t xml:space="preserve">חוסר </w:t>
            </w:r>
            <w:proofErr w:type="spellStart"/>
            <w:r w:rsidRPr="00702C1A">
              <w:rPr>
                <w:rFonts w:ascii="Tahoma" w:eastAsia="Calibri" w:hAnsi="Tahoma" w:cs="David" w:hint="cs"/>
                <w:b/>
                <w:bCs/>
                <w:sz w:val="24"/>
                <w:szCs w:val="24"/>
                <w:rtl/>
              </w:rPr>
              <w:t>בכח</w:t>
            </w:r>
            <w:proofErr w:type="spellEnd"/>
            <w:r w:rsidRPr="00702C1A">
              <w:rPr>
                <w:rFonts w:ascii="Tahoma" w:eastAsia="Calibri" w:hAnsi="Tahoma" w:cs="David" w:hint="cs"/>
                <w:b/>
                <w:bCs/>
                <w:sz w:val="24"/>
                <w:szCs w:val="24"/>
                <w:rtl/>
              </w:rPr>
              <w:t xml:space="preserve"> אדם ניהולי באגף</w:t>
            </w:r>
          </w:p>
        </w:tc>
        <w:tc>
          <w:tcPr>
            <w:tcW w:w="3544" w:type="dxa"/>
            <w:vAlign w:val="center"/>
          </w:tcPr>
          <w:p w:rsidR="006B42A9"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יש לאייש</w:t>
            </w:r>
            <w:r w:rsidRPr="00702C1A">
              <w:rPr>
                <w:rFonts w:ascii="Times New Roman" w:eastAsia="Times New Roman" w:hAnsi="Times New Roman" w:cs="David" w:hint="cs"/>
                <w:color w:val="000000"/>
                <w:sz w:val="24"/>
                <w:szCs w:val="24"/>
                <w:rtl/>
                <w:lang w:eastAsia="he-IL"/>
              </w:rPr>
              <w:t xml:space="preserve"> את תפקידי הניהול באגף בהקדם האפשרי בדגש על  כוח אדם מקצועי ומתאים לדרישות האגף.</w:t>
            </w:r>
          </w:p>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p>
        </w:tc>
        <w:tc>
          <w:tcPr>
            <w:tcW w:w="3542" w:type="dxa"/>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מאז הביקורת אוישו תפקידי מנהל אגף שפ"ע ומנהל מחלקת גינון.  </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lastRenderedPageBreak/>
              <w:t>3.</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חוזה שאינו בתוקף</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יש  לבסס את ההתקשרויות עם קבלני הגינון על הסכמים תקפים ובמידת הצורך לחדש את ההתקשרות, בהתאם להסכם.</w:t>
            </w:r>
          </w:p>
        </w:tc>
        <w:tc>
          <w:tcPr>
            <w:tcW w:w="3542" w:type="dxa"/>
            <w:vAlign w:val="center"/>
          </w:tcPr>
          <w:p w:rsidR="006B42A9"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טופל. </w:t>
            </w:r>
          </w:p>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color w:val="FFC000"/>
                <w:sz w:val="24"/>
                <w:szCs w:val="24"/>
                <w:rtl/>
              </w:rPr>
            </w:pPr>
            <w:r>
              <w:rPr>
                <w:rFonts w:ascii="David" w:eastAsia="SimSun" w:hAnsi="David" w:cs="David" w:hint="cs"/>
                <w:sz w:val="24"/>
                <w:szCs w:val="24"/>
                <w:rtl/>
              </w:rPr>
              <w:t>קיימים חוזי התקשרויות חדשים.</w:t>
            </w:r>
          </w:p>
        </w:tc>
      </w:tr>
      <w:tr w:rsidR="006B42A9" w:rsidRPr="00702C1A" w:rsidTr="008A3F78">
        <w:trPr>
          <w:trHeight w:val="595"/>
          <w:jc w:val="center"/>
        </w:trPr>
        <w:tc>
          <w:tcPr>
            <w:tcW w:w="565" w:type="dxa"/>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4.</w:t>
            </w:r>
          </w:p>
        </w:tc>
        <w:tc>
          <w:tcPr>
            <w:tcW w:w="3260"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SimSun" w:hAnsi="Times New Roman" w:cs="David" w:hint="cs"/>
                <w:b/>
                <w:bCs/>
                <w:sz w:val="24"/>
                <w:szCs w:val="24"/>
                <w:rtl/>
              </w:rPr>
              <w:t>לא נקבעת תכנית עבודה חודשית מוגדרת לאחזקת גנים ושטחים ציבורים</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 xml:space="preserve">יש לקבוע </w:t>
            </w:r>
            <w:proofErr w:type="spellStart"/>
            <w:r w:rsidRPr="00702C1A">
              <w:rPr>
                <w:rFonts w:ascii="Calibri" w:eastAsia="Times New Roman" w:hAnsi="Calibri" w:cs="David" w:hint="cs"/>
                <w:sz w:val="24"/>
                <w:szCs w:val="24"/>
                <w:rtl/>
                <w:lang w:eastAsia="he-IL"/>
              </w:rPr>
              <w:t>תוכנית</w:t>
            </w:r>
            <w:proofErr w:type="spellEnd"/>
            <w:r w:rsidRPr="00702C1A">
              <w:rPr>
                <w:rFonts w:ascii="Calibri" w:eastAsia="Times New Roman" w:hAnsi="Calibri" w:cs="David" w:hint="cs"/>
                <w:sz w:val="24"/>
                <w:szCs w:val="24"/>
                <w:rtl/>
                <w:lang w:eastAsia="he-IL"/>
              </w:rPr>
              <w:t xml:space="preserve"> עבודה לניקיון ואחזקה של מגוון האזורים והשטחים הציבוריים, ולקבוע שיטת מעקב ובקרה שוטפת אחר ביצוע העבודות על ידי הקבלן.</w:t>
            </w:r>
          </w:p>
        </w:tc>
        <w:tc>
          <w:tcPr>
            <w:tcW w:w="3542" w:type="dxa"/>
            <w:vMerge w:val="restart"/>
          </w:tcPr>
          <w:p w:rsidR="006B42A9"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p>
          <w:p w:rsidR="006B42A9"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p>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יש לחזק את תחום הפיקוח והבקרה ולבצע מעקב על עבודות הקבלן בפועל בהתאם לתכנית העבודה, עמידתו בדרישות ההסכם, ניהול יומני עבודה יומיים ע"י הקבלן ומילוי יומני נוכחות שמיים מפורטים ע"י המפקחים בעת קבלת עובדים.</w:t>
            </w:r>
          </w:p>
        </w:tc>
      </w:tr>
      <w:tr w:rsidR="006B42A9" w:rsidRPr="00702C1A" w:rsidTr="008A3F78">
        <w:trPr>
          <w:trHeight w:val="595"/>
          <w:jc w:val="center"/>
        </w:trPr>
        <w:tc>
          <w:tcPr>
            <w:tcW w:w="565" w:type="dxa"/>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5.</w:t>
            </w:r>
          </w:p>
        </w:tc>
        <w:tc>
          <w:tcPr>
            <w:tcW w:w="3260" w:type="dxa"/>
          </w:tcPr>
          <w:p w:rsidR="006B42A9" w:rsidRPr="00702C1A" w:rsidRDefault="006B42A9" w:rsidP="008A3F78">
            <w:pPr>
              <w:keepLines/>
              <w:spacing w:after="0" w:line="360" w:lineRule="auto"/>
              <w:outlineLvl w:val="1"/>
              <w:rPr>
                <w:rFonts w:ascii="Times New Roman" w:eastAsia="SimSun" w:hAnsi="Times New Roman" w:cs="David"/>
                <w:b/>
                <w:bCs/>
                <w:sz w:val="24"/>
                <w:szCs w:val="24"/>
                <w:rtl/>
              </w:rPr>
            </w:pPr>
            <w:r w:rsidRPr="00702C1A">
              <w:rPr>
                <w:rFonts w:ascii="Times New Roman" w:eastAsia="SimSun" w:hAnsi="Times New Roman" w:cs="David" w:hint="cs"/>
                <w:b/>
                <w:bCs/>
                <w:sz w:val="24"/>
                <w:szCs w:val="24"/>
                <w:rtl/>
              </w:rPr>
              <w:t>לא מנוהלים יומני עבודה יומיים לשם שמירת נתיב בקרה ופיקוח אחר העבודה המתבצעת בשטח</w:t>
            </w:r>
          </w:p>
        </w:tc>
        <w:tc>
          <w:tcPr>
            <w:tcW w:w="3544" w:type="dxa"/>
            <w:vAlign w:val="center"/>
          </w:tcPr>
          <w:p w:rsidR="006B42A9" w:rsidRPr="00702C1A" w:rsidRDefault="006B42A9" w:rsidP="008A3F78">
            <w:pPr>
              <w:keepLines/>
              <w:spacing w:after="0" w:line="360" w:lineRule="auto"/>
              <w:outlineLvl w:val="1"/>
              <w:rPr>
                <w:rFonts w:ascii="Calibri" w:eastAsia="Times New Roman" w:hAnsi="Calibri" w:cs="David"/>
                <w:sz w:val="24"/>
                <w:szCs w:val="24"/>
                <w:rtl/>
                <w:lang w:eastAsia="he-IL"/>
              </w:rPr>
            </w:pPr>
            <w:r w:rsidRPr="00702C1A">
              <w:rPr>
                <w:rFonts w:ascii="Calibri" w:eastAsia="Times New Roman" w:hAnsi="Calibri" w:cs="David" w:hint="cs"/>
                <w:sz w:val="24"/>
                <w:szCs w:val="24"/>
                <w:rtl/>
                <w:lang w:eastAsia="he-IL"/>
              </w:rPr>
              <w:t xml:space="preserve">יש </w:t>
            </w:r>
            <w:r w:rsidRPr="00702C1A">
              <w:rPr>
                <w:rFonts w:ascii="Times New Roman" w:eastAsia="Times New Roman" w:hAnsi="Times New Roman" w:cs="David" w:hint="cs"/>
                <w:color w:val="000000"/>
                <w:sz w:val="24"/>
                <w:szCs w:val="24"/>
                <w:rtl/>
                <w:lang w:eastAsia="he-IL"/>
              </w:rPr>
              <w:t>להקפיד על דרישת ההסכם לניהול יומן עבודה יומי על ידי הקבלן ובדיקתו ואישורו על ידי מנהל העבודה ובעל תפקיד רלוונטי בעיריי</w:t>
            </w:r>
            <w:r w:rsidRPr="00702C1A">
              <w:rPr>
                <w:rFonts w:ascii="Times New Roman" w:eastAsia="Times New Roman" w:hAnsi="Times New Roman" w:cs="David" w:hint="eastAsia"/>
                <w:color w:val="000000"/>
                <w:sz w:val="24"/>
                <w:szCs w:val="24"/>
                <w:rtl/>
                <w:lang w:eastAsia="he-IL"/>
              </w:rPr>
              <w:t>ה</w:t>
            </w:r>
            <w:r w:rsidRPr="00702C1A">
              <w:rPr>
                <w:rFonts w:ascii="Times New Roman" w:eastAsia="Times New Roman" w:hAnsi="Times New Roman" w:cs="David" w:hint="cs"/>
                <w:color w:val="000000"/>
                <w:sz w:val="24"/>
                <w:szCs w:val="24"/>
                <w:rtl/>
                <w:lang w:eastAsia="he-IL"/>
              </w:rPr>
              <w:t>.</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Times New Roman" w:hAnsi="David" w:cs="David"/>
                <w:sz w:val="24"/>
                <w:szCs w:val="24"/>
                <w:lang w:eastAsia="he-IL"/>
              </w:rPr>
            </w:pP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6.</w:t>
            </w:r>
          </w:p>
        </w:tc>
        <w:tc>
          <w:tcPr>
            <w:tcW w:w="3260" w:type="dxa"/>
          </w:tcPr>
          <w:p w:rsidR="006B42A9" w:rsidRPr="00702C1A" w:rsidRDefault="006B42A9" w:rsidP="008A3F78">
            <w:pPr>
              <w:keepLines/>
              <w:spacing w:after="0" w:line="360" w:lineRule="auto"/>
              <w:outlineLvl w:val="1"/>
              <w:rPr>
                <w:rFonts w:ascii="Times New Roman" w:eastAsia="SimSun" w:hAnsi="Times New Roman" w:cs="David"/>
                <w:b/>
                <w:bCs/>
                <w:sz w:val="24"/>
                <w:szCs w:val="24"/>
                <w:rtl/>
              </w:rPr>
            </w:pPr>
            <w:r w:rsidRPr="00702C1A">
              <w:rPr>
                <w:rFonts w:ascii="Times New Roman" w:eastAsia="SimSun" w:hAnsi="Times New Roman" w:cs="David" w:hint="cs"/>
                <w:b/>
                <w:bCs/>
                <w:sz w:val="24"/>
                <w:szCs w:val="24"/>
                <w:rtl/>
              </w:rPr>
              <w:t xml:space="preserve">המפקחים </w:t>
            </w:r>
            <w:r w:rsidRPr="00702C1A">
              <w:rPr>
                <w:rFonts w:ascii="Times New Roman" w:eastAsia="SimSun" w:hAnsi="Times New Roman" w:cs="David"/>
                <w:b/>
                <w:bCs/>
                <w:sz w:val="24"/>
                <w:szCs w:val="24"/>
                <w:rtl/>
              </w:rPr>
              <w:t>אינם ממלאים יומני נוכחות שמיים בעת קבלת העובדים</w:t>
            </w:r>
          </w:p>
        </w:tc>
        <w:tc>
          <w:tcPr>
            <w:tcW w:w="3544" w:type="dxa"/>
            <w:vAlign w:val="center"/>
          </w:tcPr>
          <w:p w:rsidR="006B42A9" w:rsidRPr="00702C1A" w:rsidRDefault="006B42A9" w:rsidP="008A3F78">
            <w:pPr>
              <w:keepLines/>
              <w:spacing w:after="0" w:line="360" w:lineRule="auto"/>
              <w:outlineLvl w:val="1"/>
              <w:rPr>
                <w:rFonts w:ascii="Calibri" w:eastAsia="Times New Roman" w:hAnsi="Calibri" w:cs="David"/>
                <w:sz w:val="24"/>
                <w:szCs w:val="24"/>
                <w:rtl/>
                <w:lang w:eastAsia="he-IL"/>
              </w:rPr>
            </w:pPr>
            <w:r w:rsidRPr="00702C1A">
              <w:rPr>
                <w:rFonts w:ascii="Calibri" w:eastAsia="Times New Roman" w:hAnsi="Calibri" w:cs="David" w:hint="cs"/>
                <w:sz w:val="24"/>
                <w:szCs w:val="24"/>
                <w:rtl/>
                <w:lang w:eastAsia="he-IL"/>
              </w:rPr>
              <w:t>מומלץ למלא יומן עבודה מלא שיכלול פרטים הבאים : שם העובד, תעודת זהות, קיום ווסט זוהר, קיום שקיות אשפה, נעלי עבודה ומשקפי מגן.</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Times New Roman" w:hAnsi="David" w:cs="David"/>
                <w:sz w:val="24"/>
                <w:szCs w:val="24"/>
                <w:rtl/>
                <w:lang w:eastAsia="he-IL"/>
              </w:rPr>
            </w:pP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7.</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טבלאות הטיב המשמשות את הבסיס לשביעות הרצון מהשירות ממולאות באופן שאינו מלא ועלולות להציג מצג שווא על שביעות הרצון מהשירות הניתן</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יש למלא את טבלת הטיב באופן מלא ברמת כל גן וגן ולנקד את הציון לפי הסעיפים הקיימים בציון 1-10.</w:t>
            </w:r>
          </w:p>
        </w:tc>
        <w:tc>
          <w:tcPr>
            <w:tcW w:w="3542" w:type="dxa"/>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ביקורת טיב </w:t>
            </w:r>
            <w:r w:rsidRPr="00A7556C">
              <w:rPr>
                <w:rFonts w:ascii="David" w:eastAsia="SimSun" w:hAnsi="David" w:cs="David" w:hint="cs"/>
                <w:b/>
                <w:bCs/>
                <w:sz w:val="24"/>
                <w:szCs w:val="24"/>
                <w:u w:val="single"/>
                <w:rtl/>
              </w:rPr>
              <w:t>תתבצע אחת לשבוע</w:t>
            </w:r>
            <w:r>
              <w:rPr>
                <w:rFonts w:ascii="David" w:eastAsia="SimSun" w:hAnsi="David" w:cs="David" w:hint="cs"/>
                <w:sz w:val="24"/>
                <w:szCs w:val="24"/>
                <w:rtl/>
              </w:rPr>
              <w:t xml:space="preserve"> באופן מלא </w:t>
            </w:r>
            <w:r w:rsidRPr="00A7556C">
              <w:rPr>
                <w:rFonts w:ascii="David" w:eastAsia="SimSun" w:hAnsi="David" w:cs="David" w:hint="cs"/>
                <w:b/>
                <w:bCs/>
                <w:sz w:val="24"/>
                <w:szCs w:val="24"/>
                <w:rtl/>
              </w:rPr>
              <w:t xml:space="preserve">תוך שילוב מנהלי האזור </w:t>
            </w:r>
            <w:r>
              <w:rPr>
                <w:rFonts w:ascii="David" w:eastAsia="SimSun" w:hAnsi="David" w:cs="David" w:hint="cs"/>
                <w:sz w:val="24"/>
                <w:szCs w:val="24"/>
                <w:rtl/>
              </w:rPr>
              <w:t xml:space="preserve">אשר יחתמו גם כן על הביקורת, תוך </w:t>
            </w:r>
            <w:r w:rsidRPr="00A7556C">
              <w:rPr>
                <w:rFonts w:ascii="David" w:eastAsia="SimSun" w:hAnsi="David" w:cs="David" w:hint="cs"/>
                <w:b/>
                <w:bCs/>
                <w:sz w:val="24"/>
                <w:szCs w:val="24"/>
                <w:rtl/>
              </w:rPr>
              <w:t>אחריות משותפת</w:t>
            </w:r>
            <w:r>
              <w:rPr>
                <w:rFonts w:ascii="David" w:eastAsia="SimSun" w:hAnsi="David" w:cs="David" w:hint="cs"/>
                <w:sz w:val="24"/>
                <w:szCs w:val="24"/>
                <w:rtl/>
              </w:rPr>
              <w:t xml:space="preserve"> ופיקוח משותף עם מפקחי הגינון.  הקבלן יקבל את הדוח השבועי ובמידה ולא יבצע את השירות כפי שנדרש, יבוצע קיזוז על פי טבלת הקנסות. </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8.</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 xml:space="preserve">היעדר דרכי פיקוח ובקרה כדוגמת </w:t>
            </w:r>
            <w:r w:rsidRPr="00702C1A">
              <w:rPr>
                <w:rFonts w:ascii="Times New Roman" w:eastAsia="Times New Roman" w:hAnsi="Times New Roman" w:cs="David" w:hint="cs"/>
                <w:b/>
                <w:bCs/>
                <w:color w:val="000000"/>
                <w:sz w:val="24"/>
                <w:szCs w:val="24"/>
                <w:lang w:eastAsia="he-IL"/>
              </w:rPr>
              <w:t>GPS</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יש לקבוע דרכי פיקוח ובקרה אחר עבודת מפקחי העבודה ולשקול לדרוש מהקבלן</w:t>
            </w:r>
            <w:r w:rsidRPr="00702C1A">
              <w:rPr>
                <w:rFonts w:ascii="Times New Roman" w:eastAsia="Times New Roman" w:hAnsi="Times New Roman" w:cs="David" w:hint="cs"/>
                <w:color w:val="000000"/>
                <w:sz w:val="24"/>
                <w:szCs w:val="24"/>
                <w:rtl/>
                <w:lang w:eastAsia="he-IL"/>
              </w:rPr>
              <w:t xml:space="preserve"> להתקין על גבי רכבי מנהלי העבודה מערכות </w:t>
            </w:r>
            <w:r w:rsidRPr="00702C1A">
              <w:rPr>
                <w:rFonts w:ascii="Times New Roman" w:eastAsia="Times New Roman" w:hAnsi="Times New Roman" w:cs="David" w:hint="cs"/>
                <w:color w:val="000000"/>
                <w:sz w:val="24"/>
                <w:szCs w:val="24"/>
                <w:lang w:eastAsia="he-IL"/>
              </w:rPr>
              <w:t xml:space="preserve">GPS </w:t>
            </w:r>
            <w:r w:rsidRPr="00702C1A">
              <w:rPr>
                <w:rFonts w:ascii="Times New Roman" w:eastAsia="Times New Roman" w:hAnsi="Times New Roman" w:cs="David" w:hint="cs"/>
                <w:color w:val="000000"/>
                <w:sz w:val="24"/>
                <w:szCs w:val="24"/>
                <w:rtl/>
                <w:lang w:eastAsia="he-IL"/>
              </w:rPr>
              <w:t>, וזאת לצורך ביצוע מעקב אחר יישום תכניות העבודה וטיפול נאות בקריאות המוקד.</w:t>
            </w:r>
          </w:p>
        </w:tc>
        <w:tc>
          <w:tcPr>
            <w:tcW w:w="3542" w:type="dxa"/>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יש לבדוק התקנת מערכת </w:t>
            </w:r>
            <w:r>
              <w:rPr>
                <w:rFonts w:ascii="David" w:eastAsia="SimSun" w:hAnsi="David" w:cs="David" w:hint="cs"/>
                <w:sz w:val="24"/>
                <w:szCs w:val="24"/>
              </w:rPr>
              <w:t>GPS</w:t>
            </w:r>
            <w:r>
              <w:rPr>
                <w:rFonts w:ascii="David" w:eastAsia="SimSun" w:hAnsi="David" w:cs="David" w:hint="cs"/>
                <w:sz w:val="24"/>
                <w:szCs w:val="24"/>
                <w:rtl/>
              </w:rPr>
              <w:t xml:space="preserve"> על גבי רכבי מנהלי העבודה לשם ביצוע פיקוח ובקרה. במקרה והטנדר פרטי, המעקב יתרחש רק בשעות העבודה.</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9.</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שינוי בגודל שטחי הגינון</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 xml:space="preserve">יש </w:t>
            </w:r>
            <w:r w:rsidRPr="00702C1A">
              <w:rPr>
                <w:rFonts w:ascii="Times New Roman" w:eastAsia="Times New Roman" w:hAnsi="Times New Roman" w:cs="David"/>
                <w:color w:val="000000"/>
                <w:sz w:val="24"/>
                <w:szCs w:val="24"/>
                <w:rtl/>
                <w:lang w:eastAsia="he-IL"/>
              </w:rPr>
              <w:t xml:space="preserve"> </w:t>
            </w:r>
            <w:r w:rsidRPr="00702C1A">
              <w:rPr>
                <w:rFonts w:ascii="Times New Roman" w:eastAsia="Times New Roman" w:hAnsi="Times New Roman" w:cs="David" w:hint="cs"/>
                <w:color w:val="000000"/>
                <w:sz w:val="24"/>
                <w:szCs w:val="24"/>
                <w:rtl/>
                <w:lang w:eastAsia="he-IL"/>
              </w:rPr>
              <w:t>לבסס תהליך מובנה ומבוקר לשינוי בשטחי האחזקה המועברים לקבלנים הכולל בחינה, אישור והודעה לקבלן לביצוע.</w:t>
            </w:r>
          </w:p>
        </w:tc>
        <w:tc>
          <w:tcPr>
            <w:tcW w:w="3542" w:type="dxa"/>
            <w:vMerge w:val="restart"/>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עפ"י המכרז הקיים, הקבלן מחויב לשטחים שנקבעו. במקרה של שינוי בגודל השטחים, יש לבצע את השינוי </w:t>
            </w:r>
            <w:r>
              <w:rPr>
                <w:rFonts w:ascii="David" w:eastAsia="SimSun" w:hAnsi="David" w:cs="David" w:hint="cs"/>
                <w:sz w:val="24"/>
                <w:szCs w:val="24"/>
                <w:rtl/>
              </w:rPr>
              <w:lastRenderedPageBreak/>
              <w:t>בתהליך מבוקר ומפוקח תוך הצגת אסמכתאות תומכות לגידול בשטחי האחזקה.</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lastRenderedPageBreak/>
              <w:t>10.</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גידול בשטחי הגינון ללא הצגת אסמכתא מתאימה</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 xml:space="preserve">יש </w:t>
            </w:r>
            <w:r w:rsidRPr="00702C1A">
              <w:rPr>
                <w:rFonts w:ascii="Times New Roman" w:eastAsia="Times New Roman" w:hAnsi="Times New Roman" w:cs="David"/>
                <w:color w:val="000000"/>
                <w:sz w:val="24"/>
                <w:szCs w:val="24"/>
                <w:rtl/>
                <w:lang w:eastAsia="he-IL"/>
              </w:rPr>
              <w:t xml:space="preserve"> לקבל אסמכתאות תומכות מגורמים מוסמכים </w:t>
            </w:r>
            <w:r w:rsidRPr="00702C1A">
              <w:rPr>
                <w:rFonts w:ascii="Times New Roman" w:eastAsia="Times New Roman" w:hAnsi="Times New Roman" w:cs="David" w:hint="cs"/>
                <w:color w:val="000000"/>
                <w:sz w:val="24"/>
                <w:szCs w:val="24"/>
                <w:rtl/>
                <w:lang w:eastAsia="he-IL"/>
              </w:rPr>
              <w:t>לגידול בשטחי באחזקה  טרם החיוב והתשלום לקבלן.</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11.</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פערים בחיובים מול תעריפי ההסכם</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יש לבצע מעקב שוטף אחר תעריפי ההסכם ולוודא תשלום בהתאם להסכם ובהתאם לקיזוזים נדרשים הכוללים הסבר מפורט מלא.</w:t>
            </w:r>
          </w:p>
        </w:tc>
        <w:tc>
          <w:tcPr>
            <w:tcW w:w="3542" w:type="dxa"/>
            <w:vMerge w:val="restart"/>
            <w:vAlign w:val="center"/>
          </w:tcPr>
          <w:p w:rsidR="006B42A9"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טופל. </w:t>
            </w:r>
          </w:p>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כל התוספות והסעיפים נבדקים ונעשים קיזוזים בהתאם להסכם. </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12.</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קיזוזי כספים ששולמו ביתר</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יש לבצע קיזוז הסכום העודף ששולם לקבלן ולהסדיר את התשלומים העתידיים בהתאם להסכם</w:t>
            </w:r>
            <w:r w:rsidRPr="00702C1A">
              <w:rPr>
                <w:rFonts w:ascii="Times New Roman" w:eastAsia="Times New Roman" w:hAnsi="Times New Roman" w:cs="David" w:hint="cs"/>
                <w:color w:val="000000"/>
                <w:sz w:val="24"/>
                <w:szCs w:val="24"/>
                <w:rtl/>
                <w:lang w:eastAsia="he-IL"/>
              </w:rPr>
              <w:t>.</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13.</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אי ביצוע מעקב שוטף אחר קריאות המוקד העלולות להצביע אי ביצוע העבודה על ידי הקבלן ובכך לא לעמוד בתנאי ההסכם</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מומלץ לבחון את קריאות המוקד המשויכות לאזור בו הקבלן אחראי על ביצוע העבודה השוטפת ולוודא עמידה בתנאי ההסכם, לתעד כל מקרה לגופו ולשקול הטלת הקנסות בהתאם להסכם.</w:t>
            </w:r>
          </w:p>
        </w:tc>
        <w:tc>
          <w:tcPr>
            <w:tcW w:w="3542" w:type="dxa"/>
            <w:vMerge w:val="restart"/>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r>
              <w:rPr>
                <w:rFonts w:ascii="David" w:eastAsia="SimSun" w:hAnsi="David" w:cs="David" w:hint="cs"/>
                <w:sz w:val="24"/>
                <w:szCs w:val="24"/>
                <w:rtl/>
              </w:rPr>
              <w:t xml:space="preserve">יש לבצע פיקוח ובקרה אחר קריאות מוקד מול ביצוע עבודות הקבלן בפועל ואופן הטיפול בפניות לפי זמני התקן שנקבעו בהסכם, ולבצע קיזוז או הטלת קנסות בהתאם לעבודת הקבלן והחשבוניות. מנהל אגף שפ"ע ומנכ"ל העירייה יקבלו דו"ח מנהלים מהמוקד העירוני אחת לחודש לגבי פניות מוקד של הגינון ועמידה בזמני תקן. </w:t>
            </w: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14.</w:t>
            </w:r>
          </w:p>
        </w:tc>
        <w:tc>
          <w:tcPr>
            <w:tcW w:w="3260" w:type="dxa"/>
          </w:tcPr>
          <w:p w:rsidR="006B42A9" w:rsidRPr="00702C1A" w:rsidRDefault="006B42A9" w:rsidP="008A3F78">
            <w:pPr>
              <w:keepLines/>
              <w:spacing w:after="0" w:line="360" w:lineRule="auto"/>
              <w:outlineLvl w:val="1"/>
              <w:rPr>
                <w:rFonts w:ascii="Calibri" w:eastAsia="Times New Roman" w:hAnsi="Calibri" w:cs="David"/>
                <w:b/>
                <w:bCs/>
                <w:sz w:val="24"/>
                <w:szCs w:val="24"/>
                <w:rtl/>
                <w:lang w:eastAsia="he-IL"/>
              </w:rPr>
            </w:pPr>
            <w:r w:rsidRPr="00702C1A">
              <w:rPr>
                <w:rFonts w:ascii="Calibri" w:eastAsia="Times New Roman" w:hAnsi="Calibri" w:cs="David" w:hint="cs"/>
                <w:b/>
                <w:bCs/>
                <w:sz w:val="24"/>
                <w:szCs w:val="24"/>
                <w:rtl/>
                <w:lang w:eastAsia="he-IL"/>
              </w:rPr>
              <w:t>אי התאמה בין סכומי הקיזוזים שצריכים להיות מול הביצוע בפועל או לחלופין שלא בוצע קיזוז כלל</w:t>
            </w:r>
          </w:p>
        </w:tc>
        <w:tc>
          <w:tcPr>
            <w:tcW w:w="3544" w:type="dxa"/>
            <w:vAlign w:val="center"/>
          </w:tcPr>
          <w:p w:rsidR="006B42A9" w:rsidRPr="00702C1A" w:rsidRDefault="006B42A9" w:rsidP="008A3F78">
            <w:pPr>
              <w:keepLines/>
              <w:spacing w:after="0" w:line="360" w:lineRule="auto"/>
              <w:outlineLvl w:val="1"/>
              <w:rPr>
                <w:rFonts w:ascii="Calibri" w:eastAsia="Times New Roman" w:hAnsi="Calibri" w:cs="David"/>
                <w:sz w:val="24"/>
                <w:szCs w:val="24"/>
                <w:rtl/>
                <w:lang w:eastAsia="he-IL"/>
              </w:rPr>
            </w:pPr>
            <w:r w:rsidRPr="00702C1A">
              <w:rPr>
                <w:rFonts w:ascii="Calibri" w:eastAsia="Times New Roman" w:hAnsi="Calibri" w:cs="David" w:hint="cs"/>
                <w:sz w:val="24"/>
                <w:szCs w:val="24"/>
                <w:rtl/>
                <w:lang w:eastAsia="he-IL"/>
              </w:rPr>
              <w:t>מומלץ ל</w:t>
            </w:r>
            <w:r w:rsidRPr="00702C1A">
              <w:rPr>
                <w:rFonts w:ascii="Calibri" w:eastAsia="Times New Roman" w:hAnsi="Calibri" w:cs="David"/>
                <w:sz w:val="24"/>
                <w:szCs w:val="24"/>
                <w:rtl/>
                <w:lang w:eastAsia="he-IL"/>
              </w:rPr>
              <w:t xml:space="preserve">בצע בדיקה מקיפה של פירוטי קנסות וקיזוזים והשוואתם לחשבוניות בפועל </w:t>
            </w:r>
            <w:r w:rsidRPr="00702C1A">
              <w:rPr>
                <w:rFonts w:ascii="Calibri" w:eastAsia="Times New Roman" w:hAnsi="Calibri" w:cs="David" w:hint="cs"/>
                <w:sz w:val="24"/>
                <w:szCs w:val="24"/>
                <w:rtl/>
                <w:lang w:eastAsia="he-IL"/>
              </w:rPr>
              <w:t>שהתקבלו</w:t>
            </w:r>
            <w:r w:rsidRPr="00702C1A">
              <w:rPr>
                <w:rFonts w:ascii="Calibri" w:eastAsia="Times New Roman" w:hAnsi="Calibri" w:cs="David"/>
                <w:sz w:val="24"/>
                <w:szCs w:val="24"/>
                <w:rtl/>
                <w:lang w:eastAsia="he-IL"/>
              </w:rPr>
              <w:t xml:space="preserve"> </w:t>
            </w:r>
            <w:r w:rsidRPr="00702C1A">
              <w:rPr>
                <w:rFonts w:ascii="Calibri" w:eastAsia="Times New Roman" w:hAnsi="Calibri" w:cs="David" w:hint="cs"/>
                <w:sz w:val="24"/>
                <w:szCs w:val="24"/>
                <w:rtl/>
                <w:lang w:eastAsia="he-IL"/>
              </w:rPr>
              <w:t>מ</w:t>
            </w:r>
            <w:r w:rsidRPr="00702C1A">
              <w:rPr>
                <w:rFonts w:ascii="Calibri" w:eastAsia="Times New Roman" w:hAnsi="Calibri" w:cs="David"/>
                <w:sz w:val="24"/>
                <w:szCs w:val="24"/>
                <w:rtl/>
                <w:lang w:eastAsia="he-IL"/>
              </w:rPr>
              <w:t>הקבלן.</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Times New Roman" w:hAnsi="David" w:cs="David"/>
                <w:sz w:val="24"/>
                <w:szCs w:val="24"/>
                <w:lang w:eastAsia="he-IL"/>
              </w:rPr>
            </w:pP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15.</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תקלות החוזרות בתדירות רבה ברחובות ספציפיים</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מומלץ לבצע ניתוח בתדירות שבועית לבחינת רחובות בהם התקלות חוזרות ונשנות ולבחון את אופן הטיפול בקריאות אלו.</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p>
        </w:tc>
      </w:tr>
      <w:tr w:rsidR="006B42A9" w:rsidRPr="00702C1A" w:rsidTr="008A3F78">
        <w:trPr>
          <w:trHeight w:val="595"/>
          <w:jc w:val="center"/>
        </w:trPr>
        <w:tc>
          <w:tcPr>
            <w:tcW w:w="565" w:type="dxa"/>
            <w:vAlign w:val="center"/>
          </w:tcPr>
          <w:p w:rsidR="006B42A9" w:rsidRPr="00702C1A" w:rsidRDefault="006B42A9" w:rsidP="008A3F78">
            <w:pPr>
              <w:pStyle w:val="a7"/>
              <w:rPr>
                <w:rFonts w:ascii="Times New Roman" w:eastAsia="Times New Roman" w:hAnsi="Times New Roman" w:cs="David"/>
                <w:color w:val="000000"/>
                <w:sz w:val="24"/>
                <w:szCs w:val="24"/>
                <w:rtl/>
                <w:lang w:eastAsia="he-IL"/>
              </w:rPr>
            </w:pPr>
            <w:r w:rsidRPr="00702C1A">
              <w:rPr>
                <w:rFonts w:ascii="Times New Roman" w:eastAsia="Times New Roman" w:hAnsi="Times New Roman" w:cs="David" w:hint="cs"/>
                <w:color w:val="000000"/>
                <w:sz w:val="24"/>
                <w:szCs w:val="24"/>
                <w:rtl/>
                <w:lang w:eastAsia="he-IL"/>
              </w:rPr>
              <w:t>16.</w:t>
            </w:r>
          </w:p>
        </w:tc>
        <w:tc>
          <w:tcPr>
            <w:tcW w:w="3260" w:type="dxa"/>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Times New Roman" w:eastAsia="Times New Roman" w:hAnsi="Times New Roman" w:cs="David" w:hint="cs"/>
                <w:b/>
                <w:bCs/>
                <w:color w:val="000000"/>
                <w:sz w:val="24"/>
                <w:szCs w:val="24"/>
                <w:rtl/>
                <w:lang w:eastAsia="he-IL"/>
              </w:rPr>
              <w:t>אי עמידה בזמני התקן שהוגדרו בהסכם</w:t>
            </w:r>
          </w:p>
        </w:tc>
        <w:tc>
          <w:tcPr>
            <w:tcW w:w="3544" w:type="dxa"/>
            <w:vAlign w:val="center"/>
          </w:tcPr>
          <w:p w:rsidR="006B42A9" w:rsidRPr="00702C1A" w:rsidRDefault="006B42A9" w:rsidP="008A3F78">
            <w:pPr>
              <w:keepLines/>
              <w:spacing w:after="0" w:line="360" w:lineRule="auto"/>
              <w:outlineLvl w:val="1"/>
              <w:rPr>
                <w:rFonts w:ascii="Times New Roman" w:eastAsia="Times New Roman" w:hAnsi="Times New Roman" w:cs="David"/>
                <w:b/>
                <w:bCs/>
                <w:color w:val="000000"/>
                <w:sz w:val="24"/>
                <w:szCs w:val="24"/>
                <w:rtl/>
                <w:lang w:eastAsia="he-IL"/>
              </w:rPr>
            </w:pPr>
            <w:r w:rsidRPr="00702C1A">
              <w:rPr>
                <w:rFonts w:ascii="Calibri" w:eastAsia="Times New Roman" w:hAnsi="Calibri" w:cs="David" w:hint="cs"/>
                <w:sz w:val="24"/>
                <w:szCs w:val="24"/>
                <w:rtl/>
                <w:lang w:eastAsia="he-IL"/>
              </w:rPr>
              <w:t>מומלץ להגביר את הפיקוח על טיפול בקריאות שנמצאות על סף החריגה בתקן על ידי גורם מפקח מקצועי ממחלקת גינון.</w:t>
            </w:r>
          </w:p>
        </w:tc>
        <w:tc>
          <w:tcPr>
            <w:tcW w:w="3542" w:type="dxa"/>
            <w:vMerge/>
            <w:vAlign w:val="center"/>
          </w:tcPr>
          <w:p w:rsidR="006B42A9" w:rsidRPr="00702C1A" w:rsidRDefault="006B42A9" w:rsidP="008A3F78">
            <w:pPr>
              <w:widowControl w:val="0"/>
              <w:tabs>
                <w:tab w:val="left" w:pos="0"/>
                <w:tab w:val="num" w:pos="2835"/>
              </w:tabs>
              <w:spacing w:before="120" w:after="0" w:line="360" w:lineRule="auto"/>
              <w:outlineLvl w:val="2"/>
              <w:rPr>
                <w:rFonts w:ascii="David" w:eastAsia="SimSun" w:hAnsi="David" w:cs="David"/>
                <w:sz w:val="24"/>
                <w:szCs w:val="24"/>
                <w:rtl/>
              </w:rPr>
            </w:pPr>
          </w:p>
        </w:tc>
      </w:tr>
    </w:tbl>
    <w:p w:rsidR="006B42A9" w:rsidRPr="00CF60DC" w:rsidRDefault="006B42A9" w:rsidP="006B42A9">
      <w:pPr>
        <w:spacing w:after="0"/>
        <w:rPr>
          <w:rFonts w:ascii="David" w:hAnsi="David" w:cs="David"/>
          <w:b/>
          <w:bCs/>
          <w:sz w:val="24"/>
          <w:szCs w:val="24"/>
          <w:u w:val="single"/>
          <w:rtl/>
        </w:rPr>
      </w:pPr>
    </w:p>
    <w:p w:rsidR="006B42A9" w:rsidRDefault="006B42A9" w:rsidP="006B42A9">
      <w:pPr>
        <w:rPr>
          <w:rFonts w:ascii="David" w:hAnsi="David" w:cs="David"/>
          <w:sz w:val="24"/>
          <w:szCs w:val="24"/>
          <w:u w:val="single"/>
          <w:rtl/>
        </w:rPr>
      </w:pPr>
    </w:p>
    <w:p w:rsidR="006B42A9" w:rsidRDefault="006B42A9" w:rsidP="006B42A9">
      <w:pPr>
        <w:rPr>
          <w:rFonts w:ascii="David" w:hAnsi="David" w:cs="David"/>
          <w:sz w:val="24"/>
          <w:szCs w:val="24"/>
          <w:u w:val="single"/>
          <w:rtl/>
        </w:rPr>
      </w:pPr>
    </w:p>
    <w:p w:rsidR="006B42A9" w:rsidRPr="00662123" w:rsidRDefault="006B42A9" w:rsidP="006B42A9">
      <w:pPr>
        <w:rPr>
          <w:rFonts w:ascii="David" w:hAnsi="David" w:cs="David"/>
          <w:sz w:val="24"/>
          <w:szCs w:val="24"/>
          <w:u w:val="single"/>
          <w:rtl/>
        </w:rPr>
      </w:pPr>
      <w:r w:rsidRPr="00662123">
        <w:rPr>
          <w:rFonts w:ascii="David" w:hAnsi="David" w:cs="David"/>
          <w:sz w:val="24"/>
          <w:szCs w:val="24"/>
          <w:u w:val="single"/>
          <w:rtl/>
        </w:rPr>
        <w:t>העתקים:</w:t>
      </w:r>
    </w:p>
    <w:p w:rsidR="006B42A9" w:rsidRPr="00501E08" w:rsidRDefault="006B42A9" w:rsidP="006B42A9">
      <w:pPr>
        <w:rPr>
          <w:rFonts w:ascii="David" w:hAnsi="David" w:cs="David"/>
          <w:sz w:val="24"/>
          <w:szCs w:val="24"/>
          <w:rtl/>
        </w:rPr>
      </w:pPr>
      <w:r w:rsidRPr="00662123">
        <w:rPr>
          <w:rFonts w:ascii="David" w:hAnsi="David" w:cs="David"/>
          <w:sz w:val="24"/>
          <w:szCs w:val="24"/>
          <w:rtl/>
        </w:rPr>
        <w:t>נוכחים</w:t>
      </w:r>
      <w:r>
        <w:rPr>
          <w:rFonts w:ascii="David" w:hAnsi="David" w:cs="David"/>
          <w:sz w:val="24"/>
          <w:szCs w:val="24"/>
          <w:rtl/>
        </w:rPr>
        <w:t>, לשכת ראש העיר, לשכת מנכ"ל</w:t>
      </w:r>
    </w:p>
    <w:p w:rsidR="006B42A9" w:rsidRDefault="006B42A9" w:rsidP="006B42A9">
      <w:pPr>
        <w:rPr>
          <w:rFonts w:ascii="David" w:hAnsi="David" w:cs="David"/>
          <w:sz w:val="24"/>
          <w:szCs w:val="24"/>
          <w:u w:val="single"/>
          <w:rtl/>
        </w:rPr>
      </w:pPr>
      <w:r w:rsidRPr="00662123">
        <w:rPr>
          <w:rFonts w:ascii="David" w:hAnsi="David" w:cs="David"/>
          <w:sz w:val="24"/>
          <w:szCs w:val="24"/>
          <w:u w:val="single"/>
          <w:rtl/>
        </w:rPr>
        <w:t>רשמה:</w:t>
      </w:r>
      <w:r>
        <w:rPr>
          <w:rFonts w:ascii="David" w:hAnsi="David" w:cs="David"/>
          <w:sz w:val="24"/>
          <w:szCs w:val="24"/>
          <w:rtl/>
        </w:rPr>
        <w:t xml:space="preserve"> מיטל </w:t>
      </w:r>
      <w:proofErr w:type="spellStart"/>
      <w:r>
        <w:rPr>
          <w:rFonts w:ascii="David" w:hAnsi="David" w:cs="David"/>
          <w:sz w:val="24"/>
          <w:szCs w:val="24"/>
          <w:rtl/>
        </w:rPr>
        <w:t>הילף</w:t>
      </w:r>
      <w:proofErr w:type="spellEnd"/>
      <w:r>
        <w:rPr>
          <w:rFonts w:ascii="David" w:hAnsi="David" w:cs="David"/>
          <w:sz w:val="24"/>
          <w:szCs w:val="24"/>
          <w:rtl/>
        </w:rPr>
        <w:t>, לשכת מנכ</w:t>
      </w:r>
      <w:r>
        <w:rPr>
          <w:rFonts w:ascii="David" w:hAnsi="David" w:cs="David" w:hint="cs"/>
          <w:sz w:val="24"/>
          <w:szCs w:val="24"/>
          <w:rtl/>
        </w:rPr>
        <w:t>"ל</w:t>
      </w:r>
    </w:p>
    <w:p w:rsidR="006B42A9" w:rsidRPr="00501E08" w:rsidRDefault="006B42A9" w:rsidP="006B42A9">
      <w:pPr>
        <w:rPr>
          <w:rFonts w:ascii="David" w:hAnsi="David" w:cs="David"/>
          <w:sz w:val="24"/>
          <w:szCs w:val="24"/>
          <w:u w:val="single"/>
        </w:rPr>
      </w:pPr>
    </w:p>
    <w:p w:rsidR="00C63707" w:rsidRPr="006B42A9" w:rsidRDefault="00C63707">
      <w:bookmarkStart w:id="0" w:name="_GoBack"/>
      <w:bookmarkEnd w:id="0"/>
    </w:p>
    <w:sectPr w:rsidR="00C63707" w:rsidRPr="006B42A9" w:rsidSect="00F20000">
      <w:headerReference w:type="default" r:id="rId4"/>
      <w:footerReference w:type="default" r:id="rI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08" w:rsidRDefault="006B42A9" w:rsidP="00501E08">
    <w:pPr>
      <w:pStyle w:val="a5"/>
      <w:rPr>
        <w:rtl/>
        <w:cs/>
      </w:rPr>
    </w:pPr>
    <w:r>
      <w:rPr>
        <w:rFonts w:hint="cs"/>
        <w:noProof/>
        <w:rtl/>
      </w:rPr>
      <w:drawing>
        <wp:anchor distT="0" distB="0" distL="114300" distR="114300" simplePos="0" relativeHeight="251660288" behindDoc="1" locked="0" layoutInCell="1" allowOverlap="1" wp14:anchorId="5DCD630C" wp14:editId="2B5DBEC5">
          <wp:simplePos x="0" y="0"/>
          <wp:positionH relativeFrom="column">
            <wp:posOffset>-1181100</wp:posOffset>
          </wp:positionH>
          <wp:positionV relativeFrom="paragraph">
            <wp:posOffset>-395605</wp:posOffset>
          </wp:positionV>
          <wp:extent cx="7564120" cy="1261745"/>
          <wp:effectExtent l="0" t="0" r="0" b="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כותרת_מנכל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120" cy="1261745"/>
                  </a:xfrm>
                  <a:prstGeom prst="rect">
                    <a:avLst/>
                  </a:prstGeom>
                </pic:spPr>
              </pic:pic>
            </a:graphicData>
          </a:graphic>
          <wp14:sizeRelH relativeFrom="page">
            <wp14:pctWidth>0</wp14:pctWidth>
          </wp14:sizeRelH>
          <wp14:sizeRelV relativeFrom="page">
            <wp14:pctHeight>0</wp14:pctHeight>
          </wp14:sizeRelV>
        </wp:anchor>
      </w:drawing>
    </w:r>
  </w:p>
  <w:p w:rsidR="00662123" w:rsidRDefault="006B42A9">
    <w:pPr>
      <w:pStyle w:val="a5"/>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770" w:rsidRDefault="006B42A9" w:rsidP="00CF4102">
    <w:pPr>
      <w:pStyle w:val="a3"/>
      <w:rPr>
        <w:rtl/>
      </w:rPr>
    </w:pPr>
    <w:r>
      <w:rPr>
        <w:noProof/>
      </w:rPr>
      <w:drawing>
        <wp:anchor distT="0" distB="0" distL="114300" distR="114300" simplePos="0" relativeHeight="251659264" behindDoc="0" locked="0" layoutInCell="1" allowOverlap="1" wp14:anchorId="1104004D" wp14:editId="618C48B0">
          <wp:simplePos x="0" y="0"/>
          <wp:positionH relativeFrom="column">
            <wp:posOffset>-1181100</wp:posOffset>
          </wp:positionH>
          <wp:positionV relativeFrom="paragraph">
            <wp:posOffset>-448310</wp:posOffset>
          </wp:positionV>
          <wp:extent cx="7640320" cy="1273810"/>
          <wp:effectExtent l="0" t="0" r="0" b="2540"/>
          <wp:wrapSquare wrapText="bothSides"/>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כותרת_מנכ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0320" cy="12738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2A9"/>
    <w:rsid w:val="006B42A9"/>
    <w:rsid w:val="00C63707"/>
    <w:rsid w:val="00F200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8070"/>
  <w15:chartTrackingRefBased/>
  <w15:docId w15:val="{0BA6AD5A-7407-409B-9BBD-261E3F7F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2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2A9"/>
    <w:pPr>
      <w:tabs>
        <w:tab w:val="center" w:pos="4153"/>
        <w:tab w:val="right" w:pos="8306"/>
      </w:tabs>
      <w:spacing w:after="0" w:line="240" w:lineRule="auto"/>
    </w:pPr>
  </w:style>
  <w:style w:type="character" w:customStyle="1" w:styleId="a4">
    <w:name w:val="כותרת עליונה תו"/>
    <w:basedOn w:val="a0"/>
    <w:link w:val="a3"/>
    <w:uiPriority w:val="99"/>
    <w:rsid w:val="006B42A9"/>
  </w:style>
  <w:style w:type="paragraph" w:styleId="a5">
    <w:name w:val="footer"/>
    <w:basedOn w:val="a"/>
    <w:link w:val="a6"/>
    <w:uiPriority w:val="99"/>
    <w:unhideWhenUsed/>
    <w:rsid w:val="006B42A9"/>
    <w:pPr>
      <w:tabs>
        <w:tab w:val="center" w:pos="4153"/>
        <w:tab w:val="right" w:pos="8306"/>
      </w:tabs>
      <w:spacing w:after="0" w:line="240" w:lineRule="auto"/>
    </w:pPr>
  </w:style>
  <w:style w:type="character" w:customStyle="1" w:styleId="a6">
    <w:name w:val="כותרת תחתונה תו"/>
    <w:basedOn w:val="a0"/>
    <w:link w:val="a5"/>
    <w:uiPriority w:val="99"/>
    <w:rsid w:val="006B42A9"/>
  </w:style>
  <w:style w:type="paragraph" w:styleId="a7">
    <w:name w:val="No Spacing"/>
    <w:uiPriority w:val="1"/>
    <w:qFormat/>
    <w:rsid w:val="006B42A9"/>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4003</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תומר</dc:creator>
  <cp:keywords/>
  <dc:description/>
  <cp:lastModifiedBy>מיטל תומר</cp:lastModifiedBy>
  <cp:revision>1</cp:revision>
  <cp:lastPrinted>2021-04-06T07:05:00Z</cp:lastPrinted>
  <dcterms:created xsi:type="dcterms:W3CDTF">2021-04-06T07:03:00Z</dcterms:created>
  <dcterms:modified xsi:type="dcterms:W3CDTF">2021-04-06T07:06:00Z</dcterms:modified>
</cp:coreProperties>
</file>